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800"/>
      </w:pPr>
      <w:r>
        <w:rPr>
          <w:b/>
          <w:bCs/>
          <w:color w:val="1F3A5F"/>
          <w:sz w:val="48"/>
          <w:szCs w:val="48"/>
        </w:rPr>
        <w:t xml:space="preserve">Roadmap produit</w:t>
      </w:r>
    </w:p>
    <w:p>
      <w:pPr>
        <w:spacing w:after="100"/>
      </w:pPr>
      <w:r>
        <w:rPr>
          <w:b/>
          <w:bCs/>
          <w:color w:val="B08D57"/>
          <w:sz w:val="32"/>
          <w:szCs w:val="32"/>
        </w:rPr>
        <w:t xml:space="preserve">Plateforme de constitution de dossier de prêt immobilier</w:t>
      </w:r>
    </w:p>
    <w:p>
      <w:pPr>
        <w:spacing w:after="400"/>
      </w:pPr>
      <w:r>
        <w:rPr>
          <w:i/>
          <w:iCs/>
          <w:color w:val="595959"/>
          <w:sz w:val="22"/>
          <w:szCs w:val="22"/>
        </w:rPr>
        <w:t xml:space="preserve">Site dynamique aidant les particuliers à préparer un dossier complet, optimisé et prêt à envoyer à un conseiller bancaire</w:t>
      </w:r>
    </w:p>
    <w:p>
      <w:pPr>
        <w:spacing w:after="40"/>
      </w:pPr>
      <w:r>
        <w:rPr>
          <w:color w:val="595959"/>
          <w:sz w:val="20"/>
          <w:szCs w:val="20"/>
        </w:rPr>
        <w:t xml:space="preserve">Préparé pour : Fabien</w:t>
      </w:r>
    </w:p>
    <w:p>
      <w:pPr>
        <w:spacing w:after="600"/>
      </w:pPr>
      <w:r>
        <w:rPr>
          <w:color w:val="595959"/>
          <w:sz w:val="20"/>
          <w:szCs w:val="20"/>
        </w:rPr>
        <w:t xml:space="preserve">Date : 3 août 2026</w:t>
      </w:r>
    </w:p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1. Vision et objectif</w:t>
      </w:r>
    </w:p>
    <w:p>
      <w:pPr>
        <w:spacing w:after="140"/>
      </w:pPr>
      <w:r>
        <w:rPr>
          <w:i w:val="false"/>
          <w:iCs w:val="false"/>
          <w:color w:val="222222"/>
          <w:sz w:val="21"/>
          <w:szCs w:val="21"/>
        </w:rPr>
        <w:t xml:space="preserve">L'objectif est de créer un site dynamique qui accompagne un particulier de bout en bout dans la constitution de son dossier de prêt immobilier : collecte guidée d'informations et de pièces justificatives, analyse et optimisation du dossier pour maximiser les chances de financement, puis transmission à un conseiller bancaire ou un courtier.</w:t>
      </w:r>
    </w:p>
    <w:p>
      <w:pPr>
        <w:spacing w:after="140"/>
      </w:pPr>
      <w:r>
        <w:rPr>
          <w:i w:val="false"/>
          <w:iCs w:val="false"/>
          <w:color w:val="222222"/>
          <w:sz w:val="21"/>
          <w:szCs w:val="21"/>
        </w:rPr>
        <w:t xml:space="preserve">La proposition de valeur centrale : transformer un exercice souvent perçu comme complexe et anxiogène en un parcours guidé, avec à la clé un dossier plus complet et mieux structuré que ce que produit la majorité des candidats à l'emprunt, et donc plus susceptible d'obtenir un accord et de meilleures conditions.</w:t>
      </w:r>
    </w:p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2. Cible et cas d'usage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Primo-accédants qui découvrent les exigences bancaires et ne savent pas par où commencer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Emprunteurs avec une situation plus complexe (indépendants, co-emprunteurs, investissement locatif)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Personnes souhaitant maximiser leur capacité d'emprunt avant de solliciter une banque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Conseillers bancaires et courtiers, destinataires finaux d'un dossier plus qualifié et plus rapide à instruire</w:t>
      </w:r>
    </w:p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3. Vue d'ensemble des phases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200"/>
        <w:gridCol w:w="3750"/>
        <w:gridCol w:w="3000"/>
      </w:tblGrid>
      <w:tr>
        <w:trPr>
          <w:tblHeader/>
        </w:trPr>
        <w:tc>
          <w:tcPr>
            <w:tcW w:type="dxa" w:w="14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2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375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Objectif clé</w:t>
            </w:r>
          </w:p>
        </w:tc>
        <w:tc>
          <w:tcPr>
            <w:tcW w:type="dxa" w:w="30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Résultat livré</w:t>
            </w:r>
          </w:p>
        </w:tc>
      </w:tr>
      <w:tr>
        <w:tc>
          <w:tcPr>
            <w:tcW w:type="dxa" w:w="14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Phase 1 — MVP</w:t>
            </w:r>
          </w:p>
        </w:tc>
        <w:tc>
          <w:tcPr>
            <w:tcW w:type="dxa" w:w="12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Mois 1 à 3</w:t>
            </w:r>
          </w:p>
        </w:tc>
        <w:tc>
          <w:tcPr>
            <w:tcW w:type="dxa" w:w="37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Permettre à un particulier de constituer seul un dossier de prêt complet</w:t>
            </w:r>
          </w:p>
        </w:tc>
        <w:tc>
          <w:tcPr>
            <w:tcW w:type="dxa" w:w="3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Dossier PDF exportable, prêt à envoyer à un conseiller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Phase 2 — Optimisation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Mois 4 à 6</w:t>
            </w:r>
          </w:p>
        </w:tc>
        <w:tc>
          <w:tcPr>
            <w:tcW w:type="dxa" w:w="37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Aider l'utilisateur à maximiser sa capacité de financement avant l'envoi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Score de dossier + recommandations personnalisées</w:t>
            </w:r>
          </w:p>
        </w:tc>
      </w:tr>
      <w:tr>
        <w:tc>
          <w:tcPr>
            <w:tcW w:type="dxa" w:w="14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Phase 3 — Mise en relation</w:t>
            </w:r>
          </w:p>
        </w:tc>
        <w:tc>
          <w:tcPr>
            <w:tcW w:type="dxa" w:w="12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Mois 7 à 9</w:t>
            </w:r>
          </w:p>
        </w:tc>
        <w:tc>
          <w:tcPr>
            <w:tcW w:type="dxa" w:w="37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Connecter l'utilisateur à des conseillers bancaires et courtiers</w:t>
            </w:r>
          </w:p>
        </w:tc>
        <w:tc>
          <w:tcPr>
            <w:tcW w:type="dxa" w:w="3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Envoi, suivi et échange sécurisé du dossier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Phase 4 — Passage à l'échelle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Mois 10 à 12+</w:t>
            </w:r>
          </w:p>
        </w:tc>
        <w:tc>
          <w:tcPr>
            <w:tcW w:type="dxa" w:w="37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Élargir la couverture (multi-banques, assurance, courtage)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Plateforme complète, monétisable et évolutive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4. Détail des phases</w:t>
      </w:r>
    </w:p>
    <w:p>
      <w:pPr>
        <w:pStyle w:val="Heading2"/>
        <w:spacing w:after="140" w:before="300"/>
      </w:pPr>
      <w:r>
        <w:rPr>
          <w:b/>
          <w:bCs/>
          <w:color w:val="1F3A5F"/>
          <w:sz w:val="24"/>
          <w:szCs w:val="24"/>
        </w:rPr>
        <w:t xml:space="preserve">Phase 1 — MVP — Constitution guidée du dossier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Durée indicative : </w:t>
      </w:r>
      <w:r>
        <w:rPr>
          <w:sz w:val="21"/>
          <w:szCs w:val="21"/>
        </w:rPr>
        <w:t xml:space="preserve">Mois 1 à 3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Objectif : </w:t>
      </w:r>
      <w:r>
        <w:rPr>
          <w:sz w:val="21"/>
          <w:szCs w:val="21"/>
        </w:rPr>
        <w:t xml:space="preserve">Un particulier peut créer un compte, répondre à un questionnaire sur sa situation, obtenir une checklist personnalisée des pièces à fournir, les téléverser, et générer un dossier PDF structuré prêt à être envoyé à une banque.</w:t>
      </w:r>
    </w:p>
    <w:p>
      <w:pPr>
        <w:spacing w:after="140"/>
      </w:pPr>
      <w:r>
        <w:rPr>
          <w:i w:val="false"/>
          <w:iCs w:val="false"/>
          <w:color w:val="1F3A5F"/>
          <w:sz w:val="21"/>
          <w:szCs w:val="21"/>
        </w:rPr>
        <w:t xml:space="preserve">Fonctionnalités :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Création de compte et espace personnel sécurisé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Questionnaire de profil emprunteur (situation familiale, revenus, charges, apport, projet immobilier)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Checklist dynamique des pièces justificatives, adaptée au profil (salarié, indépendant, primo-accédant, investisseur locatif, co-emprunteurs)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Téléversement des documents avec suivi de complétude en temps réel (barre de progression)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Simulateur de capacité d'emprunt basé sur les règles HCSF en vigueur (taux d'effort 35 %, durée max 25 ans, reste à vivre)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Génération automatique d'un dossier PDF unique, classé et prêt à l'envoi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Sauvegarde et reprise du dossier à tout moment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Jalon de sortie de phase : </w:t>
      </w:r>
      <w:r>
        <w:rPr>
          <w:sz w:val="21"/>
          <w:szCs w:val="21"/>
        </w:rPr>
        <w:t xml:space="preserve">Un utilisateur test constitue un dossier complet de bout en bout sans assistance humaine.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Indicateur de succès : </w:t>
      </w:r>
      <w:r>
        <w:rPr>
          <w:sz w:val="21"/>
          <w:szCs w:val="21"/>
        </w:rPr>
        <w:t xml:space="preserve">Taux de complétion du parcours (inscription → dossier généré) et temps moyen de constitution.</w:t>
      </w:r>
    </w:p>
    <w:p>
      <w:pPr>
        <w:pStyle w:val="Heading2"/>
        <w:spacing w:after="140" w:before="300"/>
      </w:pPr>
      <w:r>
        <w:rPr>
          <w:b/>
          <w:bCs/>
          <w:color w:val="1F3A5F"/>
          <w:sz w:val="24"/>
          <w:szCs w:val="24"/>
        </w:rPr>
        <w:t xml:space="preserve">Phase 2 — Optimisation du financement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Durée indicative : </w:t>
      </w:r>
      <w:r>
        <w:rPr>
          <w:sz w:val="21"/>
          <w:szCs w:val="21"/>
        </w:rPr>
        <w:t xml:space="preserve">Mois 4 à 6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Objectif : </w:t>
      </w:r>
      <w:r>
        <w:rPr>
          <w:sz w:val="21"/>
          <w:szCs w:val="21"/>
        </w:rPr>
        <w:t xml:space="preserve">Le site ne se contente plus de collecter : il analyse le dossier et guide l'utilisateur pour maximiser ses chances d'obtenir le meilleur financement possible avant l'envoi au conseiller.</w:t>
      </w:r>
    </w:p>
    <w:p>
      <w:pPr>
        <w:spacing w:after="140"/>
      </w:pPr>
      <w:r>
        <w:rPr>
          <w:i w:val="false"/>
          <w:iCs w:val="false"/>
          <w:color w:val="1F3A5F"/>
          <w:sz w:val="21"/>
          <w:szCs w:val="21"/>
        </w:rPr>
        <w:t xml:space="preserve">Fonctionnalités :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Score de qualité et de solidité du dossier (complétude, cohérence, taux d'endettement, reste à vivre, apport personnel)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Recommandations personnalisées : réduction de dettes à court terme, optimisation de l'apport, lissage de prêts, choix de durée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Comparateur pédagogique de scénarios de financement (mensualité, durée, coût total, assurance)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Alertes sur les points de vigilance identifiés par les banques (relevés à découvert, incidents de paiement, épargne de précaution insuffisante)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Tableau de bord de suivi avec statut par catégorie de pièces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Export d'une synthèse financière claire à destination du conseiller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Jalon de sortie de phase : </w:t>
      </w:r>
      <w:r>
        <w:rPr>
          <w:sz w:val="21"/>
          <w:szCs w:val="21"/>
        </w:rPr>
        <w:t xml:space="preserve">Le dossier généré inclut un score et un plan d'action concret pour l'améliorer avant envoi.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Indicateur de succès : </w:t>
      </w:r>
      <w:r>
        <w:rPr>
          <w:sz w:val="21"/>
          <w:szCs w:val="21"/>
        </w:rPr>
        <w:t xml:space="preserve">Amélioration moyenne du score de dossier entre la première et la dernière version avant envoi.</w:t>
      </w:r>
    </w:p>
    <w:p>
      <w:pPr>
        <w:pStyle w:val="Heading2"/>
        <w:spacing w:after="140" w:before="300"/>
      </w:pPr>
      <w:r>
        <w:rPr>
          <w:b/>
          <w:bCs/>
          <w:color w:val="1F3A5F"/>
          <w:sz w:val="24"/>
          <w:szCs w:val="24"/>
        </w:rPr>
        <w:t xml:space="preserve">Phase 3 — Mise en relation avec les conseillers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Durée indicative : </w:t>
      </w:r>
      <w:r>
        <w:rPr>
          <w:sz w:val="21"/>
          <w:szCs w:val="21"/>
        </w:rPr>
        <w:t xml:space="preserve">Mois 7 à 9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Objectif : </w:t>
      </w:r>
      <w:r>
        <w:rPr>
          <w:sz w:val="21"/>
          <w:szCs w:val="21"/>
        </w:rPr>
        <w:t xml:space="preserve">L'utilisateur peut transmettre son dossier directement et en toute sécurité à un ou plusieurs conseillers bancaires ou courtiers partenaires, et suivre l'avancement de sa demande.</w:t>
      </w:r>
    </w:p>
    <w:p>
      <w:pPr>
        <w:spacing w:after="140"/>
      </w:pPr>
      <w:r>
        <w:rPr>
          <w:i w:val="false"/>
          <w:iCs w:val="false"/>
          <w:color w:val="1F3A5F"/>
          <w:sz w:val="21"/>
          <w:szCs w:val="21"/>
        </w:rPr>
        <w:t xml:space="preserve">Fonctionnalités :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Annuaire ou réseau de conseillers bancaires et courtiers partenaires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Envoi sécurisé et tracé du dossier (accusé de réception, horodatage)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Espace d'échange dossier/messages entre l'utilisateur et le conseiller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Suivi de statut de la demande (envoyé, en cours d'étude, accepté, refusé, complément demandé)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Signature électronique des documents nécessitant une validation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Notifications par email/SMS aux étapes clés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Jalon de sortie de phase : </w:t>
      </w:r>
      <w:r>
        <w:rPr>
          <w:sz w:val="21"/>
          <w:szCs w:val="21"/>
        </w:rPr>
        <w:t xml:space="preserve">Un dossier peut être envoyé à un conseiller partenaire et suivi jusqu'à la décision de la banque.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Indicateur de succès : </w:t>
      </w:r>
      <w:r>
        <w:rPr>
          <w:sz w:val="21"/>
          <w:szCs w:val="21"/>
        </w:rPr>
        <w:t xml:space="preserve">Nombre de dossiers envoyés et taux de retour des conseillers sous 5 jours ouvrés.</w:t>
      </w:r>
    </w:p>
    <w:p>
      <w:pPr>
        <w:pStyle w:val="Heading2"/>
        <w:spacing w:after="140" w:before="300"/>
      </w:pPr>
      <w:r>
        <w:rPr>
          <w:b/>
          <w:bCs/>
          <w:color w:val="1F3A5F"/>
          <w:sz w:val="24"/>
          <w:szCs w:val="24"/>
        </w:rPr>
        <w:t xml:space="preserve">Phase 4 — Passage à l'échelle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Durée indicative : </w:t>
      </w:r>
      <w:r>
        <w:rPr>
          <w:sz w:val="21"/>
          <w:szCs w:val="21"/>
        </w:rPr>
        <w:t xml:space="preserve">Mois 10 à 12 et au-delà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Objectif : </w:t>
      </w:r>
      <w:r>
        <w:rPr>
          <w:sz w:val="21"/>
          <w:szCs w:val="21"/>
        </w:rPr>
        <w:t xml:space="preserve">La plateforme couvre l'ensemble du parcours de financement immobilier et devient une référence pour les emprunteurs comme pour les partenaires bancaires.</w:t>
      </w:r>
    </w:p>
    <w:p>
      <w:pPr>
        <w:spacing w:after="140"/>
      </w:pPr>
      <w:r>
        <w:rPr>
          <w:i w:val="false"/>
          <w:iCs w:val="false"/>
          <w:color w:val="1F3A5F"/>
          <w:sz w:val="21"/>
          <w:szCs w:val="21"/>
        </w:rPr>
        <w:t xml:space="preserve">Fonctionnalités :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Comparaison multi-banques et mise en concurrence des offres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Module assurance emprunteur (délégation d'assurance, comparateur)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Espace dédié aux conseillers/courtiers (réception, traitement, statistiques de conversion)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Historisation et mise à jour du dossier en cas de refus ou de nouvelle demande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Modèle économique (commission courtage, abonnement, freemium avec fonctionnalités premium)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Programme de fidélisation et parrainage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Jalon de sortie de phase : </w:t>
      </w:r>
      <w:r>
        <w:rPr>
          <w:sz w:val="21"/>
          <w:szCs w:val="21"/>
        </w:rPr>
        <w:t xml:space="preserve">Premiers partenariats bancaires signés et premiers dossiers financés via la plateforme.</w:t>
      </w:r>
    </w:p>
    <w:p>
      <w:pPr>
        <w:spacing w:after="80"/>
      </w:pPr>
      <w:r>
        <w:rPr>
          <w:b/>
          <w:bCs/>
          <w:color w:val="1F3A5F"/>
          <w:sz w:val="21"/>
          <w:szCs w:val="21"/>
        </w:rPr>
        <w:t xml:space="preserve">Indicateur de succès : </w:t>
      </w:r>
      <w:r>
        <w:rPr>
          <w:sz w:val="21"/>
          <w:szCs w:val="21"/>
        </w:rPr>
        <w:t xml:space="preserve">Volume de financements obtenus et taux de transformation dossier → prêt accordé.</w:t>
      </w:r>
    </w:p>
    <w:p>
      <w:r>
        <w:br w:type="page"/>
      </w:r>
    </w:p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5. Exemple de checklist de pièces justificatives</w:t>
      </w:r>
    </w:p>
    <w:p>
      <w:pPr>
        <w:spacing w:after="140"/>
      </w:pPr>
      <w:r>
        <w:rPr>
          <w:i w:val="false"/>
          <w:iCs w:val="false"/>
          <w:color w:val="222222"/>
          <w:sz w:val="21"/>
          <w:szCs w:val="21"/>
        </w:rPr>
        <w:t xml:space="preserve">La checklist dynamique du MVP s'adapte au profil déclaré par l'utilisateur. Base indicative issue des pratiques bancaires courantes 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50"/>
      </w:tblGrid>
      <w:tr>
        <w:trPr>
          <w:tblHeader/>
        </w:trPr>
        <w:tc>
          <w:tcPr>
            <w:tcW w:type="dxa" w:w="28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tcW w:type="dxa" w:w="655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Exemples de pièces couvertes par la checklist dynamique</w:t>
            </w:r>
          </w:p>
        </w:tc>
      </w:tr>
      <w:tr>
        <w:tc>
          <w:tcPr>
            <w:tcW w:type="dxa" w:w="28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Identité et situation</w:t>
            </w:r>
          </w:p>
        </w:tc>
        <w:tc>
          <w:tcPr>
            <w:tcW w:type="dxa" w:w="65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Pièce d'identité, livret de famille ou PACS, justificatif de domicile de moins de 3 mois</w:t>
            </w:r>
          </w:p>
        </w:tc>
      </w:tr>
      <w:tr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Revenus et charges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3 derniers bulletins de salaire, 2 derniers avis d'imposition, relevés de compte des 3 derniers mois, tableau d'amortissement des crédits en cours</w:t>
            </w:r>
          </w:p>
        </w:tc>
      </w:tr>
      <w:tr>
        <w:tc>
          <w:tcPr>
            <w:tcW w:type="dxa" w:w="28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Épargne et apport</w:t>
            </w:r>
          </w:p>
        </w:tc>
        <w:tc>
          <w:tcPr>
            <w:tcW w:type="dxa" w:w="65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Relevés d'épargne, justificatif de donation, attestation d'apport personnel</w:t>
            </w:r>
          </w:p>
        </w:tc>
      </w:tr>
      <w:tr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Projet immobilier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Compromis de vente, descriptif du bien, devis travaux le cas échéant</w:t>
            </w:r>
          </w:p>
        </w:tc>
      </w:tr>
      <w:tr>
        <w:tc>
          <w:tcPr>
            <w:tcW w:type="dxa" w:w="28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Cas particuliers</w:t>
            </w:r>
          </w:p>
        </w:tc>
        <w:tc>
          <w:tcPr>
            <w:tcW w:type="dxa" w:w="65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Indépendants : 3 derniers bilans ; co-emprunteurs : pièces doublées ; locatif : bail ou estimation de loyers</w:t>
            </w:r>
          </w:p>
        </w:tc>
      </w:tr>
    </w:tbl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6. Parties prenantes et rôles nécessaires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rPr>
          <w:tblHeader/>
        </w:trPr>
        <w:tc>
          <w:tcPr>
            <w:tcW w:type="dxa" w:w="30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Rôle</w:t>
            </w:r>
          </w:p>
        </w:tc>
        <w:tc>
          <w:tcPr>
            <w:tcW w:type="dxa" w:w="635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Contribution principale</w:t>
            </w:r>
          </w:p>
        </w:tc>
      </w:tr>
      <w:tr>
        <w:tc>
          <w:tcPr>
            <w:tcW w:type="dxa" w:w="3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Product Owner</w:t>
            </w:r>
          </w:p>
        </w:tc>
        <w:tc>
          <w:tcPr>
            <w:tcW w:type="dxa" w:w="63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Priorisation des fonctionnalités, cohérence avec le besoin utilisateur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Expert crédit immobilier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Validation des règles HCSF, des pièces exigées et des recommandations d'optimisation</w:t>
            </w:r>
          </w:p>
        </w:tc>
      </w:tr>
      <w:tr>
        <w:tc>
          <w:tcPr>
            <w:tcW w:type="dxa" w:w="3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UX/UI Designer</w:t>
            </w:r>
          </w:p>
        </w:tc>
        <w:tc>
          <w:tcPr>
            <w:tcW w:type="dxa" w:w="63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Parcours de questionnaire simple, rassurant, accessible à tous les profils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Développement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Construction du site dynamique, sécurité des données, génération de documents</w:t>
            </w:r>
          </w:p>
        </w:tc>
      </w:tr>
      <w:tr>
        <w:tc>
          <w:tcPr>
            <w:tcW w:type="dxa" w:w="3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Juridique / Conformité</w:t>
            </w:r>
          </w:p>
        </w:tc>
        <w:tc>
          <w:tcPr>
            <w:tcW w:type="dxa" w:w="63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RGPD, hébergement de données sensibles, mentions légales, intermédiation bancaire (IOBSP si mise en relation)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Partenariats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Recrutement des conseillers bancaires et courtiers partenaires (Phase 3-4)</w:t>
            </w:r>
          </w:p>
        </w:tc>
      </w:tr>
    </w:tbl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7. Risques et points de vigilance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000"/>
        <w:gridCol w:w="4150"/>
      </w:tblGrid>
      <w:tr>
        <w:trPr>
          <w:tblHeader/>
        </w:trPr>
        <w:tc>
          <w:tcPr>
            <w:tcW w:type="dxa" w:w="32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Risque</w:t>
            </w:r>
          </w:p>
        </w:tc>
        <w:tc>
          <w:tcPr>
            <w:tcW w:type="dxa" w:w="200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Impact</w:t>
            </w:r>
          </w:p>
        </w:tc>
        <w:tc>
          <w:tcPr>
            <w:tcW w:type="dxa" w:w="4150"/>
            <w:shd w:fill="1F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Mesure de mitigation</w:t>
            </w:r>
          </w:p>
        </w:tc>
      </w:tr>
      <w:tr>
        <w:tc>
          <w:tcPr>
            <w:tcW w:type="dxa" w:w="32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Évolution des règles HCSF ou réglementaires</w:t>
            </w:r>
          </w:p>
        </w:tc>
        <w:tc>
          <w:tcPr>
            <w:tcW w:type="dxa" w:w="2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Élevé</w:t>
            </w:r>
          </w:p>
        </w:tc>
        <w:tc>
          <w:tcPr>
            <w:tcW w:type="dxa" w:w="41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Paramétrage des règles en base (non codées en dur) pour mise à jour rapide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Données personnelles et financières sensibles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Élevé</w:t>
            </w:r>
          </w:p>
        </w:tc>
        <w:tc>
          <w:tcPr>
            <w:tcW w:type="dxa" w:w="4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Chiffrement, hébergement certifié, conformité RGPD dès le MVP</w:t>
            </w:r>
          </w:p>
        </w:tc>
      </w:tr>
      <w:tr>
        <w:tc>
          <w:tcPr>
            <w:tcW w:type="dxa" w:w="32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Statut réglementaire de mise en relation bancaire</w:t>
            </w:r>
          </w:p>
        </w:tc>
        <w:tc>
          <w:tcPr>
            <w:tcW w:type="dxa" w:w="2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Élevé</w:t>
            </w:r>
          </w:p>
        </w:tc>
        <w:tc>
          <w:tcPr>
            <w:tcW w:type="dxa" w:w="41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Validation juridique du statut (simple outil vs courtage/IOBSP) avant Phase 3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Fiabilité des recommandations d'optimisation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Moyen</w:t>
            </w:r>
          </w:p>
        </w:tc>
        <w:tc>
          <w:tcPr>
            <w:tcW w:type="dxa" w:w="4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Revue par un expert crédit, mentions de non-garantie de résultat</w:t>
            </w:r>
          </w:p>
        </w:tc>
      </w:tr>
      <w:tr>
        <w:tc>
          <w:tcPr>
            <w:tcW w:type="dxa" w:w="32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Adoption utilisateur (parcours perçu comme long)</w:t>
            </w:r>
          </w:p>
        </w:tc>
        <w:tc>
          <w:tcPr>
            <w:tcW w:type="dxa" w:w="200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Moyen</w:t>
            </w:r>
          </w:p>
        </w:tc>
        <w:tc>
          <w:tcPr>
            <w:tcW w:type="dxa" w:w="4150"/>
            <w:shd w:fill="EFF3F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Sauvegarde de progression, questionnaire découpé en étapes courtes</w:t>
            </w:r>
          </w:p>
        </w:tc>
      </w:tr>
    </w:tbl>
    <w:p>
      <w:pPr>
        <w:pStyle w:val="Heading1"/>
        <w:pBdr>
          <w:bottom w:val="single" w:color="B08D57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8. Prochaines étapes immédiates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Valider le périmètre exact de la Phase 1 avec un expert crédit immobilier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Clarifier le statut réglementaire visé (simple outil d'aide vs intermédiaire en opérations bancaires) avant de construire la Phase 3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Prioriser 2 à 3 profils emprunteurs types pour cadrer le questionnaire du MVP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sz w:val="20"/>
          <w:szCs w:val="20"/>
        </w:rPr>
        <w:t xml:space="preserve">Cadrer les besoins d'hébergement et de sécurité des données dès la conception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2026-08-03T05:33:07.509Z</dcterms:created>
  <dcterms:modified xsi:type="dcterms:W3CDTF">2026-08-03T05:33:07.509Z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